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F" w:rsidRDefault="0017695F" w:rsidP="0017695F">
      <w:pPr>
        <w:jc w:val="center"/>
        <w:rPr>
          <w:b/>
          <w:sz w:val="72"/>
        </w:rPr>
      </w:pPr>
    </w:p>
    <w:p w:rsidR="0017695F" w:rsidRDefault="0046735C" w:rsidP="0017695F">
      <w:pPr>
        <w:jc w:val="center"/>
        <w:rPr>
          <w:b/>
          <w:sz w:val="96"/>
        </w:rPr>
      </w:pPr>
      <w:r>
        <w:rPr>
          <w:b/>
          <w:sz w:val="96"/>
        </w:rPr>
        <w:t>Výroční zpráva 202</w:t>
      </w:r>
      <w:r w:rsidR="00437157">
        <w:rPr>
          <w:b/>
          <w:sz w:val="96"/>
        </w:rPr>
        <w:t>1</w:t>
      </w:r>
    </w:p>
    <w:p w:rsidR="0017695F" w:rsidRDefault="0017695F" w:rsidP="0017695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615950</wp:posOffset>
            </wp:positionV>
            <wp:extent cx="40957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ázek 1" descr="LOGO NZ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ZD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>
      <w:pPr>
        <w:spacing w:after="0"/>
        <w:rPr>
          <w:sz w:val="24"/>
        </w:rPr>
      </w:pP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Duha o.p.s.</w:t>
      </w:r>
      <w:r w:rsidRPr="007A5E39">
        <w:rPr>
          <w:rFonts w:ascii="Times New Roman" w:hAnsi="Times New Roman"/>
          <w:b/>
          <w:sz w:val="24"/>
          <w:szCs w:val="24"/>
        </w:rPr>
        <w:tab/>
        <w:t>NZDM DoPatra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Julia Fučíka 873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 xml:space="preserve">Karla IV. 83 </w:t>
      </w:r>
      <w:r w:rsidRPr="007A5E39">
        <w:rPr>
          <w:rFonts w:ascii="Times New Roman" w:hAnsi="Times New Roman"/>
          <w:sz w:val="24"/>
          <w:szCs w:val="24"/>
        </w:rPr>
        <w:tab/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504 01 Nový Bydžov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>504 01 Nový Bydžov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IČ: 25999150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>dopatra@email.cz</w:t>
      </w: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495 491 180, 736 601 096</w:t>
      </w:r>
      <w:r w:rsidRPr="007A5E39">
        <w:rPr>
          <w:rFonts w:ascii="Times New Roman" w:hAnsi="Times New Roman"/>
          <w:sz w:val="24"/>
          <w:szCs w:val="24"/>
        </w:rPr>
        <w:tab/>
        <w:t>495 260 704</w:t>
      </w:r>
    </w:p>
    <w:p w:rsidR="0017695F" w:rsidRPr="007A5E39" w:rsidRDefault="0017695F" w:rsidP="0017695F">
      <w:pPr>
        <w:tabs>
          <w:tab w:val="left" w:pos="6450"/>
          <w:tab w:val="left" w:pos="6930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www.pomocseniorum.cz</w:t>
      </w:r>
      <w:r w:rsidRPr="007A5E39">
        <w:rPr>
          <w:rFonts w:ascii="Times New Roman" w:hAnsi="Times New Roman"/>
          <w:sz w:val="24"/>
          <w:szCs w:val="24"/>
        </w:rPr>
        <w:tab/>
        <w:t>www.dopatra.cz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CA0415" w:rsidRPr="007051B4" w:rsidRDefault="0017695F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51B4">
        <w:rPr>
          <w:rFonts w:ascii="Times New Roman" w:hAnsi="Times New Roman"/>
          <w:sz w:val="24"/>
          <w:szCs w:val="24"/>
        </w:rPr>
        <w:t xml:space="preserve">V Nízkoprahovém zařízení pro děti a mládež DoPatra fungují </w:t>
      </w:r>
      <w:r w:rsidR="00964BDB" w:rsidRPr="007051B4">
        <w:rPr>
          <w:rFonts w:ascii="Times New Roman" w:hAnsi="Times New Roman"/>
          <w:sz w:val="24"/>
          <w:szCs w:val="24"/>
        </w:rPr>
        <w:br/>
      </w:r>
      <w:r w:rsidRPr="007051B4">
        <w:rPr>
          <w:rFonts w:ascii="Times New Roman" w:hAnsi="Times New Roman"/>
          <w:sz w:val="24"/>
          <w:szCs w:val="24"/>
        </w:rPr>
        <w:t xml:space="preserve">2 </w:t>
      </w:r>
      <w:r w:rsidR="00CA0415" w:rsidRPr="007051B4">
        <w:rPr>
          <w:rFonts w:ascii="Times New Roman" w:hAnsi="Times New Roman"/>
          <w:sz w:val="24"/>
          <w:szCs w:val="24"/>
        </w:rPr>
        <w:t>kluby</w:t>
      </w:r>
      <w:r w:rsidR="00E57D41" w:rsidRPr="007051B4">
        <w:rPr>
          <w:rFonts w:ascii="Times New Roman" w:hAnsi="Times New Roman"/>
          <w:sz w:val="24"/>
          <w:szCs w:val="24"/>
        </w:rPr>
        <w:t>,</w:t>
      </w:r>
      <w:r w:rsidR="003157ED">
        <w:rPr>
          <w:rFonts w:ascii="Times New Roman" w:hAnsi="Times New Roman"/>
          <w:sz w:val="24"/>
          <w:szCs w:val="24"/>
        </w:rPr>
        <w:t xml:space="preserve"> </w:t>
      </w:r>
      <w:r w:rsidR="00E57D41" w:rsidRPr="007051B4">
        <w:rPr>
          <w:rFonts w:ascii="Times New Roman" w:hAnsi="Times New Roman"/>
          <w:sz w:val="24"/>
          <w:szCs w:val="24"/>
        </w:rPr>
        <w:t>k</w:t>
      </w:r>
      <w:r w:rsidRPr="007051B4">
        <w:rPr>
          <w:rFonts w:ascii="Times New Roman" w:hAnsi="Times New Roman"/>
          <w:sz w:val="24"/>
          <w:szCs w:val="24"/>
        </w:rPr>
        <w:t>lub Čásek</w:t>
      </w:r>
      <w:r w:rsidR="003157ED">
        <w:rPr>
          <w:rFonts w:ascii="Times New Roman" w:hAnsi="Times New Roman"/>
          <w:sz w:val="24"/>
          <w:szCs w:val="24"/>
        </w:rPr>
        <w:t xml:space="preserve"> </w:t>
      </w:r>
      <w:r w:rsidR="001D49A8">
        <w:rPr>
          <w:rFonts w:ascii="Times New Roman" w:hAnsi="Times New Roman"/>
          <w:sz w:val="24"/>
          <w:szCs w:val="24"/>
        </w:rPr>
        <w:t>(</w:t>
      </w:r>
      <w:r w:rsidRPr="007051B4">
        <w:rPr>
          <w:rFonts w:ascii="Times New Roman" w:hAnsi="Times New Roman"/>
          <w:sz w:val="24"/>
          <w:szCs w:val="24"/>
        </w:rPr>
        <w:t>6 – 12 let</w:t>
      </w:r>
      <w:r w:rsidR="001D49A8">
        <w:rPr>
          <w:rFonts w:ascii="Times New Roman" w:hAnsi="Times New Roman"/>
          <w:sz w:val="24"/>
          <w:szCs w:val="24"/>
        </w:rPr>
        <w:t>)</w:t>
      </w:r>
      <w:r w:rsidRPr="007051B4">
        <w:rPr>
          <w:rFonts w:ascii="Times New Roman" w:hAnsi="Times New Roman"/>
          <w:sz w:val="24"/>
          <w:szCs w:val="24"/>
        </w:rPr>
        <w:t xml:space="preserve"> a klub Čas </w:t>
      </w:r>
      <w:r w:rsidR="003157ED">
        <w:rPr>
          <w:rFonts w:ascii="Times New Roman" w:hAnsi="Times New Roman"/>
          <w:sz w:val="24"/>
          <w:szCs w:val="24"/>
        </w:rPr>
        <w:t>(</w:t>
      </w:r>
      <w:r w:rsidRPr="007051B4">
        <w:rPr>
          <w:rFonts w:ascii="Times New Roman" w:hAnsi="Times New Roman"/>
          <w:sz w:val="24"/>
          <w:szCs w:val="24"/>
        </w:rPr>
        <w:t xml:space="preserve">13 – 26 </w:t>
      </w:r>
      <w:r w:rsidR="00712ABB" w:rsidRPr="007051B4">
        <w:rPr>
          <w:rFonts w:ascii="Times New Roman" w:hAnsi="Times New Roman"/>
          <w:sz w:val="24"/>
          <w:szCs w:val="24"/>
        </w:rPr>
        <w:t>let</w:t>
      </w:r>
      <w:r w:rsidR="00712ABB">
        <w:rPr>
          <w:rFonts w:ascii="Times New Roman" w:hAnsi="Times New Roman"/>
          <w:sz w:val="24"/>
          <w:szCs w:val="24"/>
        </w:rPr>
        <w:t>). NZDM</w:t>
      </w:r>
      <w:r w:rsidRPr="007051B4">
        <w:rPr>
          <w:rFonts w:ascii="Times New Roman" w:hAnsi="Times New Roman"/>
          <w:sz w:val="24"/>
          <w:szCs w:val="24"/>
        </w:rPr>
        <w:t xml:space="preserve"> DoPatra je registrováno jako jedna sociální služba</w:t>
      </w:r>
      <w:r w:rsidR="00E57D41" w:rsidRPr="007051B4">
        <w:rPr>
          <w:rFonts w:ascii="Times New Roman" w:hAnsi="Times New Roman"/>
          <w:sz w:val="24"/>
          <w:szCs w:val="24"/>
        </w:rPr>
        <w:t>, rozdělení těchto klubů je interní záležitostí provozu</w:t>
      </w:r>
      <w:r w:rsidRPr="007051B4">
        <w:rPr>
          <w:rFonts w:ascii="Times New Roman" w:hAnsi="Times New Roman"/>
          <w:sz w:val="24"/>
          <w:szCs w:val="24"/>
        </w:rPr>
        <w:t xml:space="preserve">. </w:t>
      </w:r>
      <w:r w:rsidR="00CA0415" w:rsidRPr="007051B4">
        <w:rPr>
          <w:rFonts w:ascii="Times New Roman" w:hAnsi="Times New Roman"/>
          <w:sz w:val="24"/>
          <w:szCs w:val="24"/>
        </w:rPr>
        <w:t xml:space="preserve">Pracovníci </w:t>
      </w:r>
      <w:r w:rsidR="00E57D41" w:rsidRPr="007051B4">
        <w:rPr>
          <w:rFonts w:ascii="Times New Roman" w:hAnsi="Times New Roman"/>
          <w:sz w:val="24"/>
          <w:szCs w:val="24"/>
        </w:rPr>
        <w:t xml:space="preserve">v sociálních službách </w:t>
      </w:r>
      <w:r w:rsidR="00CA0415" w:rsidRPr="007051B4">
        <w:rPr>
          <w:rFonts w:ascii="Times New Roman" w:hAnsi="Times New Roman"/>
          <w:sz w:val="24"/>
          <w:szCs w:val="24"/>
        </w:rPr>
        <w:t>dětem pomáhají s tématy, kter</w:t>
      </w:r>
      <w:r w:rsidR="00E57D41" w:rsidRPr="007051B4">
        <w:rPr>
          <w:rFonts w:ascii="Times New Roman" w:hAnsi="Times New Roman"/>
          <w:sz w:val="24"/>
          <w:szCs w:val="24"/>
        </w:rPr>
        <w:t>é</w:t>
      </w:r>
      <w:r w:rsidR="00CA0415" w:rsidRPr="007051B4">
        <w:rPr>
          <w:rFonts w:ascii="Times New Roman" w:hAnsi="Times New Roman"/>
          <w:sz w:val="24"/>
          <w:szCs w:val="24"/>
        </w:rPr>
        <w:t xml:space="preserve"> se týkají školy, </w:t>
      </w:r>
      <w:r w:rsidR="00E57D41" w:rsidRPr="007051B4">
        <w:rPr>
          <w:rFonts w:ascii="Times New Roman" w:hAnsi="Times New Roman"/>
          <w:sz w:val="24"/>
          <w:szCs w:val="24"/>
        </w:rPr>
        <w:t xml:space="preserve">jejich budoucího </w:t>
      </w:r>
      <w:r w:rsidR="00CA0415" w:rsidRPr="007051B4">
        <w:rPr>
          <w:rFonts w:ascii="Times New Roman" w:hAnsi="Times New Roman"/>
          <w:sz w:val="24"/>
          <w:szCs w:val="24"/>
        </w:rPr>
        <w:t>uplatnění na trhu práce, bydlení</w:t>
      </w:r>
      <w:r w:rsidR="00E57D41" w:rsidRPr="007051B4">
        <w:rPr>
          <w:rFonts w:ascii="Times New Roman" w:hAnsi="Times New Roman"/>
          <w:sz w:val="24"/>
          <w:szCs w:val="24"/>
        </w:rPr>
        <w:t>. Rovněž pomáhají i s</w:t>
      </w:r>
      <w:r w:rsidR="00CA0415" w:rsidRPr="007051B4">
        <w:rPr>
          <w:rFonts w:ascii="Times New Roman" w:hAnsi="Times New Roman"/>
          <w:sz w:val="24"/>
          <w:szCs w:val="24"/>
        </w:rPr>
        <w:t xml:space="preserve"> dalšími situacemi, které vyplývají z dětství a dospívání, s nimiž si děti a mladí sami nevědí rady. NZDM DoPatra pracuje s neorganizovanými dětmi a mladými lidmi od počátku školní docházky do 26 let, kteří pocházejí ze sociálně znevýhodněného prostředí z Nového Bydžova a blízkého okolí.</w:t>
      </w:r>
    </w:p>
    <w:p w:rsidR="00CA041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Poslání</w:t>
      </w:r>
    </w:p>
    <w:p w:rsidR="0017695F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Nízkoprahové zařízení pro děti a mládež DoPatra nabízí podporu a pomoc při změně v životním způsobu dětí, mládeže a mladých dospělých v nepříznivé sociální situaci ve věku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>6 – 26 let. Nabídkou bezpečného prostoru pro smysluplné trávení volného času chceme být dětem, mládeži a mladým dospělým ze sociálně vyloučené lokality nebo ohrožené sociálním vyloučením nápomocni, aby dosáhli příležitostí a možností, které by jim pomohli plně se zapojit do ekonomického, sociálního i kulturního života společnosti a žít způsobem, který je ve společnosti považován za běžný.</w:t>
      </w:r>
    </w:p>
    <w:p w:rsidR="00CA0415" w:rsidRPr="007A5E39" w:rsidRDefault="00CA0415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Cíle: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předcházet vzniku a rozvoji rizikového chování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zvyšovat schopnost zvládat obtížné životní situace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rozvíjet sociální schopnosti a dovednosti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aktivizovat k pravidelným zájmům a činnostem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posilovat hodnotu vzdělání</w:t>
      </w:r>
    </w:p>
    <w:p w:rsidR="007C7995" w:rsidRPr="007A5E39" w:rsidRDefault="007C7995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Činnosti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Služba je poskytována v souladu s právní úpravou dle zákona č. 108/2006 Sb.,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o sociálních službách a prováděcí vyhláškou č. 505/2006 Sb., zákona o sociálních službách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a naplňuje činnosti dle Standardů kvality sociálních služeb. 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0245F3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245F3">
        <w:rPr>
          <w:rFonts w:ascii="Times New Roman" w:hAnsi="Times New Roman"/>
          <w:sz w:val="24"/>
          <w:szCs w:val="24"/>
          <w:u w:val="single"/>
        </w:rPr>
        <w:t>Činnosti vyplývající ze zákona: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Výchovné, vzdělávací a aktivizační činnosti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Sociálně terapeutické činnosti 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Pomoc při uplatňování práv a oprávněných zájmů </w:t>
      </w:r>
    </w:p>
    <w:p w:rsidR="00A67B69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Zprostředkování kontaktu se společenským prostředím.</w:t>
      </w:r>
    </w:p>
    <w:p w:rsidR="00BB55ED" w:rsidRPr="007A5E39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7ED" w:rsidRDefault="003157ED" w:rsidP="00251B3D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>V roce 2021</w:t>
      </w:r>
      <w:r w:rsidR="001231B5" w:rsidRPr="001231B5">
        <w:rPr>
          <w:color w:val="000000"/>
          <w:szCs w:val="27"/>
        </w:rPr>
        <w:t xml:space="preserve"> navštívilo NZDM DoPatra</w:t>
      </w:r>
      <w:r>
        <w:rPr>
          <w:color w:val="000000"/>
          <w:szCs w:val="27"/>
        </w:rPr>
        <w:t xml:space="preserve"> celkem 103</w:t>
      </w:r>
      <w:r w:rsidR="001231B5" w:rsidRPr="001231B5">
        <w:rPr>
          <w:color w:val="000000"/>
          <w:szCs w:val="27"/>
        </w:rPr>
        <w:t xml:space="preserve"> dětí, mládeže a mladých dospělých ve věku 6 – 26 let, z nichž </w:t>
      </w:r>
      <w:r>
        <w:rPr>
          <w:color w:val="000000"/>
          <w:szCs w:val="27"/>
        </w:rPr>
        <w:t>68</w:t>
      </w:r>
      <w:r w:rsidR="001231B5" w:rsidRPr="001231B5">
        <w:rPr>
          <w:color w:val="000000"/>
          <w:szCs w:val="27"/>
        </w:rPr>
        <w:t xml:space="preserve"> bylo uživatelem služ</w:t>
      </w:r>
      <w:r>
        <w:rPr>
          <w:color w:val="000000"/>
          <w:szCs w:val="27"/>
        </w:rPr>
        <w:t>by. Bylo poskytnuto celkem 3 051</w:t>
      </w:r>
      <w:r w:rsidR="001231B5" w:rsidRPr="001231B5">
        <w:rPr>
          <w:color w:val="000000"/>
          <w:szCs w:val="27"/>
        </w:rPr>
        <w:t xml:space="preserve"> služeb </w:t>
      </w:r>
      <w:r w:rsidR="00712ABB" w:rsidRPr="001231B5">
        <w:rPr>
          <w:color w:val="000000"/>
          <w:szCs w:val="27"/>
        </w:rPr>
        <w:t xml:space="preserve">při </w:t>
      </w:r>
      <w:r w:rsidR="00712ABB">
        <w:rPr>
          <w:color w:val="000000"/>
          <w:szCs w:val="27"/>
        </w:rPr>
        <w:t>1 334</w:t>
      </w:r>
      <w:r>
        <w:rPr>
          <w:color w:val="000000"/>
          <w:szCs w:val="27"/>
        </w:rPr>
        <w:t xml:space="preserve"> </w:t>
      </w:r>
      <w:r w:rsidR="001231B5" w:rsidRPr="001231B5">
        <w:rPr>
          <w:color w:val="000000"/>
          <w:szCs w:val="27"/>
        </w:rPr>
        <w:t>kontaktech. Z poskytovaných služeb uživatelé nejvíce využili zajištění podmínek pro přiměřené vzdělávání (pomoc se školou)</w:t>
      </w:r>
      <w:r>
        <w:rPr>
          <w:color w:val="000000"/>
          <w:szCs w:val="27"/>
        </w:rPr>
        <w:t xml:space="preserve"> a to o 14%více než volnočasové aktivity, které letos skončily na 2. místě v počtu poskytnutých služeb. Jako třetí letos skončily kontaktní rozhovory, těch bylo 467. </w:t>
      </w:r>
      <w:r w:rsidR="001231B5" w:rsidRPr="001231B5">
        <w:rPr>
          <w:color w:val="000000"/>
          <w:szCs w:val="27"/>
        </w:rPr>
        <w:t xml:space="preserve"> </w:t>
      </w:r>
    </w:p>
    <w:p w:rsidR="00DA35B1" w:rsidRDefault="003157ED" w:rsidP="00251B3D">
      <w:pPr>
        <w:pStyle w:val="Normlnweb"/>
        <w:jc w:val="both"/>
        <w:rPr>
          <w:szCs w:val="22"/>
        </w:rPr>
      </w:pPr>
      <w:r>
        <w:rPr>
          <w:szCs w:val="27"/>
        </w:rPr>
        <w:lastRenderedPageBreak/>
        <w:t>V roce 2021 dále pokračovala</w:t>
      </w:r>
      <w:r w:rsidR="001231B5" w:rsidRPr="008A40BE">
        <w:rPr>
          <w:szCs w:val="27"/>
        </w:rPr>
        <w:t xml:space="preserve"> celosvětově pa</w:t>
      </w:r>
      <w:r w:rsidR="00DA35B1" w:rsidRPr="008A40BE">
        <w:rPr>
          <w:szCs w:val="27"/>
        </w:rPr>
        <w:t xml:space="preserve">ndemie Covid-19. </w:t>
      </w:r>
      <w:r w:rsidR="001231B5" w:rsidRPr="008A40BE">
        <w:rPr>
          <w:szCs w:val="27"/>
        </w:rPr>
        <w:t>V ČR s tím bylo spojených mnoho zákazů a omezení služeb.</w:t>
      </w:r>
      <w:r>
        <w:rPr>
          <w:szCs w:val="27"/>
        </w:rPr>
        <w:t xml:space="preserve"> V </w:t>
      </w:r>
      <w:r>
        <w:rPr>
          <w:szCs w:val="22"/>
        </w:rPr>
        <w:t>k</w:t>
      </w:r>
      <w:r w:rsidR="00DA35B1" w:rsidRPr="008A40BE">
        <w:rPr>
          <w:szCs w:val="22"/>
        </w:rPr>
        <w:t>lub</w:t>
      </w:r>
      <w:r>
        <w:rPr>
          <w:szCs w:val="22"/>
        </w:rPr>
        <w:t>u</w:t>
      </w:r>
      <w:r w:rsidR="00DA35B1" w:rsidRPr="008A40BE">
        <w:rPr>
          <w:szCs w:val="22"/>
        </w:rPr>
        <w:t xml:space="preserve"> jsme </w:t>
      </w:r>
      <w:r>
        <w:rPr>
          <w:szCs w:val="22"/>
        </w:rPr>
        <w:t xml:space="preserve">aktuálně reagovali </w:t>
      </w:r>
      <w:r w:rsidR="00B86D4F">
        <w:rPr>
          <w:szCs w:val="22"/>
        </w:rPr>
        <w:t>na situaci ve školství</w:t>
      </w:r>
      <w:r>
        <w:rPr>
          <w:szCs w:val="22"/>
        </w:rPr>
        <w:t xml:space="preserve"> – uzavřené školy, on-line výuka. </w:t>
      </w:r>
      <w:r w:rsidR="00D45F12">
        <w:rPr>
          <w:szCs w:val="22"/>
        </w:rPr>
        <w:t>A to změnou otevírací doby tak, aby se zde uživ</w:t>
      </w:r>
      <w:r w:rsidR="00B86D4F">
        <w:rPr>
          <w:szCs w:val="22"/>
        </w:rPr>
        <w:t>atelé moh</w:t>
      </w:r>
      <w:r w:rsidR="00D45F12">
        <w:rPr>
          <w:szCs w:val="22"/>
        </w:rPr>
        <w:t>li připojit na on-line výuku už od 8:00. Tím pádem došlo i k omezení odpoledního klubu.</w:t>
      </w:r>
    </w:p>
    <w:p w:rsidR="00D45F12" w:rsidRPr="008A40BE" w:rsidRDefault="00D45F12" w:rsidP="00251B3D">
      <w:pPr>
        <w:pStyle w:val="Normlnweb"/>
        <w:jc w:val="both"/>
        <w:rPr>
          <w:szCs w:val="27"/>
        </w:rPr>
      </w:pPr>
      <w:r>
        <w:rPr>
          <w:szCs w:val="22"/>
        </w:rPr>
        <w:t>Pro nedostatek výpočetní techniky jsme navázali novou spolupráci se školami. Ty nám zapůjčily svou výpočetní techniku (notebooky, tablety) pro své žáky, kteří se zde připojovali k on-line výuce. Většina uživatelů doma nemělo připojení k</w:t>
      </w:r>
      <w:r w:rsidR="00B86D4F">
        <w:rPr>
          <w:szCs w:val="22"/>
        </w:rPr>
        <w:t> </w:t>
      </w:r>
      <w:r w:rsidR="00712ABB">
        <w:rPr>
          <w:szCs w:val="22"/>
        </w:rPr>
        <w:t>internetu anebo zde</w:t>
      </w:r>
      <w:r>
        <w:rPr>
          <w:szCs w:val="22"/>
        </w:rPr>
        <w:t xml:space="preserve"> bylo riziko poničení či ztráty </w:t>
      </w:r>
      <w:r w:rsidR="00B86D4F">
        <w:rPr>
          <w:szCs w:val="22"/>
        </w:rPr>
        <w:t>ve vlastnictví u nich</w:t>
      </w:r>
      <w:r>
        <w:rPr>
          <w:szCs w:val="22"/>
        </w:rPr>
        <w:t xml:space="preserve"> doma.  </w:t>
      </w:r>
    </w:p>
    <w:p w:rsidR="005710DE" w:rsidRPr="00D45F12" w:rsidRDefault="00DA35B1" w:rsidP="00D45F12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DB7188">
        <w:rPr>
          <w:rFonts w:ascii="Times New Roman" w:hAnsi="Times New Roman" w:cs="Times New Roman"/>
          <w:color w:val="auto"/>
          <w:szCs w:val="22"/>
        </w:rPr>
        <w:t>Vzhledem k tomu, že mnoho uživatelů je z multiproblémových rodin, které jsou zpravidla nízkop</w:t>
      </w:r>
      <w:r w:rsidR="00DF6582" w:rsidRPr="00DB7188">
        <w:rPr>
          <w:rFonts w:ascii="Times New Roman" w:hAnsi="Times New Roman" w:cs="Times New Roman"/>
          <w:color w:val="auto"/>
          <w:szCs w:val="22"/>
        </w:rPr>
        <w:t xml:space="preserve">říjmové, </w:t>
      </w:r>
      <w:r w:rsidR="00D45F12">
        <w:rPr>
          <w:rFonts w:ascii="Times New Roman" w:hAnsi="Times New Roman" w:cs="Times New Roman"/>
          <w:color w:val="auto"/>
          <w:szCs w:val="22"/>
        </w:rPr>
        <w:t xml:space="preserve">i nadále jsme pomáhali </w:t>
      </w:r>
      <w:r w:rsidRPr="00DB7188">
        <w:rPr>
          <w:rFonts w:ascii="Times New Roman" w:hAnsi="Times New Roman" w:cs="Times New Roman"/>
          <w:color w:val="auto"/>
          <w:szCs w:val="22"/>
        </w:rPr>
        <w:t>tisknout domácí úkoly a zaslanou látku k vý</w:t>
      </w:r>
      <w:r w:rsidR="00DF6582" w:rsidRPr="00DB7188">
        <w:rPr>
          <w:rFonts w:ascii="Times New Roman" w:hAnsi="Times New Roman" w:cs="Times New Roman"/>
          <w:color w:val="auto"/>
          <w:szCs w:val="22"/>
        </w:rPr>
        <w:t xml:space="preserve">uce, kterou uživatelé dostávali </w:t>
      </w:r>
      <w:r w:rsidRPr="00DB7188">
        <w:rPr>
          <w:rFonts w:ascii="Times New Roman" w:hAnsi="Times New Roman" w:cs="Times New Roman"/>
          <w:color w:val="auto"/>
          <w:szCs w:val="22"/>
        </w:rPr>
        <w:t>v elektronické podobě ze školy. Kontakt s uživatelem při předání vytištěného materiálu probíh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al</w:t>
      </w:r>
      <w:r w:rsidRPr="00DB7188">
        <w:rPr>
          <w:rFonts w:ascii="Times New Roman" w:hAnsi="Times New Roman" w:cs="Times New Roman"/>
          <w:color w:val="auto"/>
          <w:szCs w:val="22"/>
        </w:rPr>
        <w:t xml:space="preserve"> bezkontaktně, tzn., že uživatel zazvon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il</w:t>
      </w:r>
      <w:r w:rsidRPr="00DB7188">
        <w:rPr>
          <w:rFonts w:ascii="Times New Roman" w:hAnsi="Times New Roman" w:cs="Times New Roman"/>
          <w:color w:val="auto"/>
          <w:szCs w:val="22"/>
        </w:rPr>
        <w:t xml:space="preserve"> a telefonem se ohlás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il</w:t>
      </w:r>
      <w:r w:rsidRPr="00DB7188">
        <w:rPr>
          <w:rFonts w:ascii="Times New Roman" w:hAnsi="Times New Roman" w:cs="Times New Roman"/>
          <w:color w:val="auto"/>
          <w:szCs w:val="22"/>
        </w:rPr>
        <w:t>, následně odstoup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il</w:t>
      </w:r>
      <w:r w:rsidRPr="00DB7188">
        <w:rPr>
          <w:rFonts w:ascii="Times New Roman" w:hAnsi="Times New Roman" w:cs="Times New Roman"/>
          <w:color w:val="auto"/>
          <w:szCs w:val="22"/>
        </w:rPr>
        <w:t xml:space="preserve"> od dveří alespoň 2 metry</w:t>
      </w:r>
      <w:r w:rsidR="00DF6582" w:rsidRPr="00DB7188">
        <w:rPr>
          <w:rFonts w:ascii="Times New Roman" w:hAnsi="Times New Roman" w:cs="Times New Roman"/>
          <w:color w:val="auto"/>
          <w:szCs w:val="22"/>
        </w:rPr>
        <w:t xml:space="preserve"> a pracovník</w:t>
      </w:r>
      <w:r w:rsidRPr="00DB7188">
        <w:rPr>
          <w:rFonts w:ascii="Times New Roman" w:hAnsi="Times New Roman" w:cs="Times New Roman"/>
          <w:color w:val="auto"/>
          <w:szCs w:val="22"/>
        </w:rPr>
        <w:t xml:space="preserve"> mu před zařízení polož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il</w:t>
      </w:r>
      <w:r w:rsidRPr="00DB7188">
        <w:rPr>
          <w:rFonts w:ascii="Times New Roman" w:hAnsi="Times New Roman" w:cs="Times New Roman"/>
          <w:color w:val="auto"/>
          <w:szCs w:val="22"/>
        </w:rPr>
        <w:t xml:space="preserve"> tiště</w:t>
      </w:r>
      <w:r w:rsidR="00DF6582" w:rsidRPr="00DB7188">
        <w:rPr>
          <w:rFonts w:ascii="Times New Roman" w:hAnsi="Times New Roman" w:cs="Times New Roman"/>
          <w:color w:val="auto"/>
          <w:szCs w:val="22"/>
        </w:rPr>
        <w:t>né učivo</w:t>
      </w:r>
      <w:r w:rsidR="001448E1" w:rsidRPr="00DB7188">
        <w:rPr>
          <w:rFonts w:ascii="Times New Roman" w:hAnsi="Times New Roman" w:cs="Times New Roman"/>
          <w:color w:val="auto"/>
          <w:szCs w:val="22"/>
        </w:rPr>
        <w:t>. U</w:t>
      </w:r>
      <w:r w:rsidR="00DF6582" w:rsidRPr="00DB7188">
        <w:rPr>
          <w:rFonts w:ascii="Times New Roman" w:hAnsi="Times New Roman" w:cs="Times New Roman"/>
          <w:color w:val="auto"/>
          <w:szCs w:val="22"/>
        </w:rPr>
        <w:t>živatel si ho přebral a odešel. Pokud si nevěděl s domácími úkoly rady, pracovník mu látku vysvětlil</w:t>
      </w:r>
      <w:r w:rsidR="00712ABB">
        <w:rPr>
          <w:rFonts w:ascii="Times New Roman" w:hAnsi="Times New Roman" w:cs="Times New Roman"/>
          <w:color w:val="auto"/>
          <w:szCs w:val="22"/>
        </w:rPr>
        <w:t xml:space="preserve"> a mohl si je zde vypracovat. </w:t>
      </w:r>
      <w:r w:rsidR="0033121F" w:rsidRPr="00B86D4F">
        <w:rPr>
          <w:rFonts w:ascii="Times New Roman" w:hAnsi="Times New Roman" w:cs="Times New Roman"/>
          <w:szCs w:val="22"/>
        </w:rPr>
        <w:t>Nutno podotknout, že u mnoha uživatelů, kde se rodiny vyznačují především nízkou vzdělaností, byl pracovník klubu jediný, kdo jim</w:t>
      </w:r>
      <w:r w:rsidR="00D45F12" w:rsidRPr="00B86D4F">
        <w:rPr>
          <w:rFonts w:ascii="Times New Roman" w:hAnsi="Times New Roman" w:cs="Times New Roman"/>
          <w:szCs w:val="22"/>
        </w:rPr>
        <w:t xml:space="preserve"> mohl probíranou látku vysvětli</w:t>
      </w:r>
      <w:r w:rsidR="00B86D4F">
        <w:rPr>
          <w:rFonts w:ascii="Times New Roman" w:hAnsi="Times New Roman" w:cs="Times New Roman"/>
          <w:szCs w:val="22"/>
        </w:rPr>
        <w:t>t</w:t>
      </w:r>
      <w:r w:rsidR="00D45F12" w:rsidRPr="00B86D4F">
        <w:rPr>
          <w:rFonts w:ascii="Times New Roman" w:hAnsi="Times New Roman" w:cs="Times New Roman"/>
          <w:szCs w:val="22"/>
        </w:rPr>
        <w:t>, aby ji lépe pochopili</w:t>
      </w:r>
      <w:r w:rsidR="0033121F" w:rsidRPr="00B86D4F">
        <w:rPr>
          <w:rFonts w:ascii="Times New Roman" w:hAnsi="Times New Roman" w:cs="Times New Roman"/>
          <w:szCs w:val="22"/>
        </w:rPr>
        <w:t xml:space="preserve">. </w:t>
      </w:r>
      <w:r w:rsidR="00712ABB">
        <w:rPr>
          <w:rFonts w:ascii="Times New Roman" w:hAnsi="Times New Roman" w:cs="Times New Roman"/>
          <w:szCs w:val="22"/>
        </w:rPr>
        <w:t xml:space="preserve">Od podzimu se situace opět opakovala, kdy většina tříd byla v karanténě. Pracovníci NZDM pomáhali uživatelům s domácími úkoly či vysvětlení látky telefonicky, emailem nebo přes sociální sítě. </w:t>
      </w:r>
    </w:p>
    <w:p w:rsidR="00872763" w:rsidRPr="004101AA" w:rsidRDefault="005710DE" w:rsidP="00251B3D">
      <w:pPr>
        <w:pStyle w:val="Normlnweb"/>
        <w:jc w:val="both"/>
        <w:rPr>
          <w:szCs w:val="22"/>
        </w:rPr>
      </w:pPr>
      <w:r w:rsidRPr="004101AA">
        <w:rPr>
          <w:szCs w:val="22"/>
        </w:rPr>
        <w:t>V</w:t>
      </w:r>
      <w:r w:rsidR="00045D3E">
        <w:rPr>
          <w:szCs w:val="22"/>
        </w:rPr>
        <w:t xml:space="preserve"> červnu </w:t>
      </w:r>
      <w:r w:rsidRPr="004101AA">
        <w:rPr>
          <w:szCs w:val="22"/>
        </w:rPr>
        <w:t xml:space="preserve">už bylo umožněno otevřít </w:t>
      </w:r>
      <w:r w:rsidR="0033121F" w:rsidRPr="004101AA">
        <w:rPr>
          <w:szCs w:val="22"/>
        </w:rPr>
        <w:t xml:space="preserve">oba </w:t>
      </w:r>
      <w:r w:rsidRPr="004101AA">
        <w:rPr>
          <w:szCs w:val="22"/>
        </w:rPr>
        <w:t>klu</w:t>
      </w:r>
      <w:r w:rsidR="0033121F" w:rsidRPr="004101AA">
        <w:rPr>
          <w:szCs w:val="22"/>
        </w:rPr>
        <w:t>by</w:t>
      </w:r>
      <w:r w:rsidRPr="004101AA">
        <w:rPr>
          <w:szCs w:val="22"/>
        </w:rPr>
        <w:t>.</w:t>
      </w:r>
      <w:r w:rsidR="00D45F12">
        <w:rPr>
          <w:szCs w:val="22"/>
        </w:rPr>
        <w:t xml:space="preserve"> </w:t>
      </w:r>
      <w:r w:rsidRPr="004101AA">
        <w:rPr>
          <w:szCs w:val="22"/>
        </w:rPr>
        <w:t>P</w:t>
      </w:r>
      <w:r w:rsidR="00DA35B1" w:rsidRPr="004101AA">
        <w:rPr>
          <w:szCs w:val="22"/>
        </w:rPr>
        <w:t>racovníci se vždy říd</w:t>
      </w:r>
      <w:r w:rsidR="00505ABE" w:rsidRPr="004101AA">
        <w:rPr>
          <w:szCs w:val="22"/>
        </w:rPr>
        <w:t>ili</w:t>
      </w:r>
      <w:r w:rsidR="00DA35B1" w:rsidRPr="004101AA">
        <w:rPr>
          <w:szCs w:val="22"/>
        </w:rPr>
        <w:t xml:space="preserve"> aktuálním nařízením vlády a doporučenými postupy, které zasíl</w:t>
      </w:r>
      <w:r w:rsidR="00505ABE" w:rsidRPr="004101AA">
        <w:rPr>
          <w:szCs w:val="22"/>
        </w:rPr>
        <w:t>ala</w:t>
      </w:r>
      <w:r w:rsidR="00DA35B1" w:rsidRPr="004101AA">
        <w:rPr>
          <w:szCs w:val="22"/>
        </w:rPr>
        <w:t xml:space="preserve"> pravidelně Asociace poskytovatelů sociálních služeb. Při otevření ambulantní formy NZDM </w:t>
      </w:r>
      <w:r w:rsidR="00505ABE" w:rsidRPr="004101AA">
        <w:rPr>
          <w:szCs w:val="22"/>
        </w:rPr>
        <w:t>bylo</w:t>
      </w:r>
      <w:r w:rsidR="00DA35B1" w:rsidRPr="004101AA">
        <w:rPr>
          <w:szCs w:val="22"/>
        </w:rPr>
        <w:t xml:space="preserve"> nutné dodržovat hygienická pravidla</w:t>
      </w:r>
      <w:r w:rsidR="00872763" w:rsidRPr="004101AA">
        <w:rPr>
          <w:szCs w:val="22"/>
        </w:rPr>
        <w:t>, například:</w:t>
      </w:r>
    </w:p>
    <w:p w:rsidR="00872763" w:rsidRPr="002E726B" w:rsidRDefault="00872763" w:rsidP="0087276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Cs w:val="22"/>
        </w:rPr>
      </w:pPr>
      <w:r w:rsidRPr="002E726B">
        <w:rPr>
          <w:rFonts w:ascii="Times New Roman" w:hAnsi="Times New Roman" w:cs="Times New Roman"/>
          <w:color w:val="auto"/>
          <w:szCs w:val="22"/>
        </w:rPr>
        <w:t>Zaměstnanci si</w:t>
      </w:r>
      <w:r w:rsidR="00DF6582" w:rsidRPr="002E726B">
        <w:rPr>
          <w:rFonts w:ascii="Times New Roman" w:hAnsi="Times New Roman" w:cs="Times New Roman"/>
          <w:color w:val="auto"/>
          <w:szCs w:val="22"/>
        </w:rPr>
        <w:t xml:space="preserve"> po příchodu do zaměstnání umyl</w:t>
      </w:r>
      <w:r w:rsidR="005B7836" w:rsidRPr="002E726B">
        <w:rPr>
          <w:rFonts w:ascii="Times New Roman" w:hAnsi="Times New Roman" w:cs="Times New Roman"/>
          <w:color w:val="auto"/>
          <w:szCs w:val="22"/>
        </w:rPr>
        <w:t>i</w:t>
      </w:r>
      <w:r w:rsidR="00DF6582" w:rsidRPr="002E726B">
        <w:rPr>
          <w:rFonts w:ascii="Times New Roman" w:hAnsi="Times New Roman" w:cs="Times New Roman"/>
          <w:color w:val="auto"/>
          <w:szCs w:val="22"/>
        </w:rPr>
        <w:t xml:space="preserve"> a vydezinfikovali</w:t>
      </w:r>
      <w:r w:rsidRPr="002E726B">
        <w:rPr>
          <w:rFonts w:ascii="Times New Roman" w:hAnsi="Times New Roman" w:cs="Times New Roman"/>
          <w:color w:val="auto"/>
          <w:szCs w:val="22"/>
        </w:rPr>
        <w:t xml:space="preserve"> ruce. Po celou </w:t>
      </w:r>
      <w:r w:rsidR="005B7836" w:rsidRPr="002E726B">
        <w:rPr>
          <w:rFonts w:ascii="Times New Roman" w:hAnsi="Times New Roman" w:cs="Times New Roman"/>
          <w:color w:val="auto"/>
          <w:szCs w:val="22"/>
        </w:rPr>
        <w:t>d</w:t>
      </w:r>
      <w:r w:rsidRPr="002E726B">
        <w:rPr>
          <w:rFonts w:ascii="Times New Roman" w:hAnsi="Times New Roman" w:cs="Times New Roman"/>
          <w:color w:val="auto"/>
          <w:szCs w:val="22"/>
        </w:rPr>
        <w:t>obu prac</w:t>
      </w:r>
      <w:r w:rsidR="004101AA" w:rsidRPr="002E726B">
        <w:rPr>
          <w:rFonts w:ascii="Times New Roman" w:hAnsi="Times New Roman" w:cs="Times New Roman"/>
          <w:color w:val="auto"/>
          <w:szCs w:val="22"/>
        </w:rPr>
        <w:t>o</w:t>
      </w:r>
      <w:r w:rsidR="007D55B0" w:rsidRPr="002E726B">
        <w:rPr>
          <w:rFonts w:ascii="Times New Roman" w:hAnsi="Times New Roman" w:cs="Times New Roman"/>
          <w:color w:val="auto"/>
          <w:szCs w:val="22"/>
        </w:rPr>
        <w:t>vali</w:t>
      </w:r>
      <w:r w:rsidRPr="002E726B">
        <w:rPr>
          <w:rFonts w:ascii="Times New Roman" w:hAnsi="Times New Roman" w:cs="Times New Roman"/>
          <w:color w:val="auto"/>
          <w:szCs w:val="22"/>
        </w:rPr>
        <w:t xml:space="preserve"> v roušce</w:t>
      </w:r>
      <w:r w:rsidR="00DF6582" w:rsidRPr="002E726B">
        <w:rPr>
          <w:rFonts w:ascii="Times New Roman" w:hAnsi="Times New Roman" w:cs="Times New Roman"/>
          <w:color w:val="auto"/>
          <w:szCs w:val="22"/>
        </w:rPr>
        <w:t>. Při kontaktu s uživatelem měli</w:t>
      </w:r>
      <w:r w:rsidRPr="002E726B">
        <w:rPr>
          <w:rFonts w:ascii="Times New Roman" w:hAnsi="Times New Roman" w:cs="Times New Roman"/>
          <w:color w:val="auto"/>
          <w:szCs w:val="22"/>
        </w:rPr>
        <w:t xml:space="preserve"> roušku nasazenou po celou dobu a po ukončení tohoto kontaktu (před příchodem dalšího uživatele) si roušku mění za novou. </w:t>
      </w:r>
    </w:p>
    <w:p w:rsidR="00872763" w:rsidRPr="002E726B" w:rsidRDefault="00872763" w:rsidP="0087276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Cs w:val="22"/>
        </w:rPr>
      </w:pPr>
      <w:r w:rsidRPr="002E726B">
        <w:rPr>
          <w:rFonts w:ascii="Times New Roman" w:hAnsi="Times New Roman" w:cs="Times New Roman"/>
          <w:color w:val="auto"/>
          <w:szCs w:val="22"/>
        </w:rPr>
        <w:t>Zaměstnanci vydezinfik</w:t>
      </w:r>
      <w:r w:rsidR="007D55B0" w:rsidRPr="002E726B">
        <w:rPr>
          <w:rFonts w:ascii="Times New Roman" w:hAnsi="Times New Roman" w:cs="Times New Roman"/>
          <w:color w:val="auto"/>
          <w:szCs w:val="22"/>
        </w:rPr>
        <w:t>ovali</w:t>
      </w:r>
      <w:r w:rsidRPr="002E726B">
        <w:rPr>
          <w:rFonts w:ascii="Times New Roman" w:hAnsi="Times New Roman" w:cs="Times New Roman"/>
          <w:color w:val="auto"/>
          <w:szCs w:val="22"/>
        </w:rPr>
        <w:t xml:space="preserve"> po odchodu uživatele plochu (stůl, židli, klávesnici počítače a použité pomůcky, např. propisky, tužky, pastelky, společenské hry), aby bylo stanoviště připraveno na dalšího uživatele. </w:t>
      </w:r>
    </w:p>
    <w:p w:rsidR="00872763" w:rsidRPr="000F3325" w:rsidRDefault="00872763" w:rsidP="00872763">
      <w:pPr>
        <w:pStyle w:val="Normlnweb"/>
        <w:numPr>
          <w:ilvl w:val="0"/>
          <w:numId w:val="5"/>
        </w:numPr>
        <w:rPr>
          <w:sz w:val="28"/>
          <w:szCs w:val="22"/>
        </w:rPr>
      </w:pPr>
      <w:r w:rsidRPr="000F3325">
        <w:rPr>
          <w:szCs w:val="22"/>
        </w:rPr>
        <w:t xml:space="preserve">Uživatel </w:t>
      </w:r>
      <w:r w:rsidR="004101AA" w:rsidRPr="000F3325">
        <w:rPr>
          <w:szCs w:val="22"/>
        </w:rPr>
        <w:t xml:space="preserve">při </w:t>
      </w:r>
      <w:r w:rsidRPr="000F3325">
        <w:rPr>
          <w:szCs w:val="22"/>
        </w:rPr>
        <w:t xml:space="preserve">vstupu do zařízení </w:t>
      </w:r>
      <w:r w:rsidR="004101AA" w:rsidRPr="000F3325">
        <w:rPr>
          <w:szCs w:val="22"/>
        </w:rPr>
        <w:t xml:space="preserve">musel mít zakryté dýchací cesty a byla mu změřena teplota. </w:t>
      </w:r>
      <w:r w:rsidR="00DF6582" w:rsidRPr="000F3325">
        <w:rPr>
          <w:szCs w:val="22"/>
        </w:rPr>
        <w:t xml:space="preserve">Pokud </w:t>
      </w:r>
      <w:r w:rsidR="005B7836" w:rsidRPr="000F3325">
        <w:rPr>
          <w:szCs w:val="22"/>
        </w:rPr>
        <w:t>ne</w:t>
      </w:r>
      <w:r w:rsidR="004101AA" w:rsidRPr="000F3325">
        <w:rPr>
          <w:szCs w:val="22"/>
        </w:rPr>
        <w:t>měl</w:t>
      </w:r>
      <w:r w:rsidR="005B7836" w:rsidRPr="000F3325">
        <w:rPr>
          <w:szCs w:val="22"/>
        </w:rPr>
        <w:t xml:space="preserve"> zvýšenou teplotu a nevykaz</w:t>
      </w:r>
      <w:r w:rsidR="004101AA" w:rsidRPr="000F3325">
        <w:rPr>
          <w:szCs w:val="22"/>
        </w:rPr>
        <w:t>oval</w:t>
      </w:r>
      <w:r w:rsidR="005B7836" w:rsidRPr="000F3325">
        <w:rPr>
          <w:szCs w:val="22"/>
        </w:rPr>
        <w:t xml:space="preserve"> respirační onemocnění (rýma, kašel) </w:t>
      </w:r>
      <w:r w:rsidR="004101AA" w:rsidRPr="000F3325">
        <w:rPr>
          <w:szCs w:val="22"/>
        </w:rPr>
        <w:t>mohl</w:t>
      </w:r>
      <w:r w:rsidR="005B7836" w:rsidRPr="000F3325">
        <w:rPr>
          <w:szCs w:val="22"/>
        </w:rPr>
        <w:t xml:space="preserve"> vstoupit dál do prostoru NZDM. Při </w:t>
      </w:r>
      <w:r w:rsidRPr="000F3325">
        <w:rPr>
          <w:szCs w:val="22"/>
        </w:rPr>
        <w:t>vstupu (nahoře na chodbě u botníku), kde je umístěn stojan s dezinfekcí, si povinně dezinfik</w:t>
      </w:r>
      <w:r w:rsidR="002E726B" w:rsidRPr="000F3325">
        <w:rPr>
          <w:szCs w:val="22"/>
        </w:rPr>
        <w:t xml:space="preserve">oval </w:t>
      </w:r>
      <w:r w:rsidRPr="000F3325">
        <w:rPr>
          <w:szCs w:val="22"/>
        </w:rPr>
        <w:t>ruce. V případě, že uživatel přicház</w:t>
      </w:r>
      <w:r w:rsidR="002E726B" w:rsidRPr="000F3325">
        <w:rPr>
          <w:szCs w:val="22"/>
        </w:rPr>
        <w:t>el</w:t>
      </w:r>
      <w:r w:rsidRPr="000F3325">
        <w:rPr>
          <w:szCs w:val="22"/>
        </w:rPr>
        <w:t xml:space="preserve"> d</w:t>
      </w:r>
      <w:r w:rsidR="005B7836" w:rsidRPr="000F3325">
        <w:rPr>
          <w:szCs w:val="22"/>
        </w:rPr>
        <w:t xml:space="preserve">o zařízení pro pomoc se školou, a </w:t>
      </w:r>
      <w:r w:rsidRPr="000F3325">
        <w:rPr>
          <w:szCs w:val="22"/>
        </w:rPr>
        <w:t>vykaz</w:t>
      </w:r>
      <w:r w:rsidR="002E726B" w:rsidRPr="000F3325">
        <w:rPr>
          <w:szCs w:val="22"/>
        </w:rPr>
        <w:t>oval</w:t>
      </w:r>
      <w:r w:rsidRPr="000F3325">
        <w:rPr>
          <w:szCs w:val="22"/>
        </w:rPr>
        <w:t xml:space="preserve"> známky onemocnění</w:t>
      </w:r>
      <w:r w:rsidR="002E726B" w:rsidRPr="000F3325">
        <w:rPr>
          <w:szCs w:val="22"/>
        </w:rPr>
        <w:t>, nemohl být do NZDM vpuštěn. Byl mu nabídnut telefonický kontakt.</w:t>
      </w:r>
    </w:p>
    <w:p w:rsidR="00ED15F5" w:rsidRDefault="001231B5" w:rsidP="00E34F31">
      <w:pPr>
        <w:pStyle w:val="Normlnweb"/>
        <w:jc w:val="both"/>
        <w:rPr>
          <w:color w:val="000000"/>
          <w:szCs w:val="27"/>
        </w:rPr>
      </w:pPr>
      <w:r w:rsidRPr="001231B5">
        <w:rPr>
          <w:color w:val="000000"/>
          <w:szCs w:val="27"/>
        </w:rPr>
        <w:t xml:space="preserve">Taneční kroužek Děti z města </w:t>
      </w:r>
      <w:r w:rsidR="00B86D4F">
        <w:rPr>
          <w:color w:val="000000"/>
          <w:szCs w:val="27"/>
        </w:rPr>
        <w:t>v roce 2021</w:t>
      </w:r>
      <w:r w:rsidRPr="001231B5">
        <w:rPr>
          <w:color w:val="000000"/>
          <w:szCs w:val="27"/>
        </w:rPr>
        <w:t xml:space="preserve"> skoro vůbec neprobíhal. Z bezpečnostních důvodů jsme v klubu netancovali a nepořádali jarní ani vánoční výstavu. Zato ale, když se vždy situace trochu zlepšila, probíhalo několik akcí ve vnitřních prostorách klubu. Například „Loučení s prázdninami“</w:t>
      </w:r>
      <w:r w:rsidR="00045D3E">
        <w:rPr>
          <w:color w:val="000000"/>
          <w:szCs w:val="27"/>
        </w:rPr>
        <w:t>, „Halloween“, „Faktor Strachu“ a nově „Čertoviny“</w:t>
      </w:r>
      <w:r w:rsidRPr="001231B5">
        <w:rPr>
          <w:color w:val="000000"/>
          <w:szCs w:val="27"/>
        </w:rPr>
        <w:t>.</w:t>
      </w:r>
    </w:p>
    <w:p w:rsidR="00ED15F5" w:rsidRDefault="00045D3E" w:rsidP="00E34F31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 w:rsidR="00ED15F5">
        <w:rPr>
          <w:color w:val="000000"/>
          <w:szCs w:val="27"/>
        </w:rPr>
        <w:t>V průběhu roku probíhaly besedy a to na téma: „</w:t>
      </w:r>
      <w:r w:rsidR="005546EA">
        <w:rPr>
          <w:color w:val="000000"/>
          <w:szCs w:val="27"/>
        </w:rPr>
        <w:t>H</w:t>
      </w:r>
      <w:r w:rsidR="00B86D4F">
        <w:rPr>
          <w:color w:val="000000"/>
          <w:szCs w:val="27"/>
        </w:rPr>
        <w:t>ygiena a C</w:t>
      </w:r>
      <w:r w:rsidR="00ED15F5">
        <w:rPr>
          <w:color w:val="000000"/>
          <w:szCs w:val="27"/>
        </w:rPr>
        <w:t>ovid</w:t>
      </w:r>
      <w:r w:rsidR="00B86D4F">
        <w:rPr>
          <w:color w:val="000000"/>
          <w:szCs w:val="27"/>
        </w:rPr>
        <w:t>19</w:t>
      </w:r>
      <w:r w:rsidR="005546EA">
        <w:rPr>
          <w:color w:val="000000"/>
          <w:szCs w:val="27"/>
        </w:rPr>
        <w:t>“, „Bezpečný sex“, „Karanténa a izolace“, „Kouření“, „Ochrana životního prostředí“, „V</w:t>
      </w:r>
      <w:r w:rsidR="00ED15F5">
        <w:rPr>
          <w:color w:val="000000"/>
          <w:szCs w:val="27"/>
        </w:rPr>
        <w:t>odní plochy novobydžov</w:t>
      </w:r>
      <w:r w:rsidR="00B86D4F">
        <w:rPr>
          <w:color w:val="000000"/>
          <w:szCs w:val="27"/>
        </w:rPr>
        <w:t>s</w:t>
      </w:r>
      <w:r w:rsidR="005546EA">
        <w:rPr>
          <w:color w:val="000000"/>
          <w:szCs w:val="27"/>
        </w:rPr>
        <w:t>ka“, „Bezpečnost u vody“, „Recyklace“, „V</w:t>
      </w:r>
      <w:r w:rsidR="00ED15F5">
        <w:rPr>
          <w:color w:val="000000"/>
          <w:szCs w:val="27"/>
        </w:rPr>
        <w:t xml:space="preserve">olby“, </w:t>
      </w:r>
      <w:r w:rsidR="005546EA">
        <w:rPr>
          <w:color w:val="000000"/>
          <w:szCs w:val="27"/>
        </w:rPr>
        <w:t>a „ P</w:t>
      </w:r>
      <w:r w:rsidR="00ED15F5">
        <w:rPr>
          <w:color w:val="000000"/>
          <w:szCs w:val="27"/>
        </w:rPr>
        <w:t>ravidla v klubu“</w:t>
      </w:r>
      <w:r w:rsidR="005546EA">
        <w:rPr>
          <w:color w:val="000000"/>
          <w:szCs w:val="27"/>
        </w:rPr>
        <w:t>.</w:t>
      </w:r>
      <w:r w:rsidR="00ED15F5">
        <w:rPr>
          <w:color w:val="000000"/>
          <w:szCs w:val="27"/>
        </w:rPr>
        <w:t xml:space="preserve"> </w:t>
      </w:r>
    </w:p>
    <w:p w:rsidR="001231B5" w:rsidRPr="001231B5" w:rsidRDefault="00B0164B" w:rsidP="00E34F31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>Při skupinov</w:t>
      </w:r>
      <w:r w:rsidR="008344D8">
        <w:rPr>
          <w:color w:val="000000"/>
          <w:szCs w:val="27"/>
        </w:rPr>
        <w:t>ých</w:t>
      </w:r>
      <w:r w:rsidR="00ED15F5">
        <w:rPr>
          <w:color w:val="000000"/>
          <w:szCs w:val="27"/>
        </w:rPr>
        <w:t>, kontaktních</w:t>
      </w:r>
      <w:r w:rsidR="008344D8">
        <w:rPr>
          <w:color w:val="000000"/>
          <w:szCs w:val="27"/>
        </w:rPr>
        <w:t xml:space="preserve"> a</w:t>
      </w:r>
      <w:r>
        <w:rPr>
          <w:color w:val="000000"/>
          <w:szCs w:val="27"/>
        </w:rPr>
        <w:t xml:space="preserve"> individuálních rozhovorech jsme si s dětmi a mladými dospělými povídali o </w:t>
      </w:r>
      <w:r>
        <w:t>základních faktech ohledně</w:t>
      </w:r>
      <w:r w:rsidR="00B86D4F">
        <w:t xml:space="preserve"> koronaviru/COVID-19, seznámili </w:t>
      </w:r>
      <w:r>
        <w:t xml:space="preserve">jsme je </w:t>
      </w:r>
      <w:r w:rsidR="00ED15F5">
        <w:t xml:space="preserve">se základními pravidly ochrany. Řešili jsme problémy ve škole a doučování a samozřejmě jak trávit svůj volný čas. </w:t>
      </w:r>
    </w:p>
    <w:p w:rsidR="001231B5" w:rsidRPr="001231B5" w:rsidRDefault="001231B5" w:rsidP="00D4585D">
      <w:pPr>
        <w:pStyle w:val="Normlnweb"/>
        <w:jc w:val="both"/>
        <w:rPr>
          <w:color w:val="000000"/>
          <w:szCs w:val="27"/>
        </w:rPr>
      </w:pPr>
      <w:r w:rsidRPr="001231B5">
        <w:rPr>
          <w:color w:val="000000"/>
          <w:szCs w:val="27"/>
        </w:rPr>
        <w:t>V létě si NZDM DoPatra pro děti připravilo prázdninový projekt „</w:t>
      </w:r>
      <w:r w:rsidR="00ED15F5">
        <w:rPr>
          <w:color w:val="000000"/>
          <w:szCs w:val="27"/>
        </w:rPr>
        <w:t>Vodní svět</w:t>
      </w:r>
      <w:r w:rsidRPr="001231B5">
        <w:rPr>
          <w:color w:val="000000"/>
          <w:szCs w:val="27"/>
        </w:rPr>
        <w:t xml:space="preserve">“. V rámci tohoto tématu jsme </w:t>
      </w:r>
      <w:r w:rsidR="00ED15F5">
        <w:rPr>
          <w:color w:val="000000"/>
          <w:szCs w:val="27"/>
        </w:rPr>
        <w:t>si s dětmi povídali o ochraně životního prostředí, recyklaci, o vodních plochách v NB a okolí, o bezpečnosti u vody</w:t>
      </w:r>
      <w:r w:rsidR="00EF28D5">
        <w:rPr>
          <w:color w:val="000000"/>
          <w:szCs w:val="27"/>
        </w:rPr>
        <w:t xml:space="preserve"> a o fauně a floře ve vodě.</w:t>
      </w:r>
      <w:r w:rsidR="00ED15F5">
        <w:rPr>
          <w:color w:val="000000"/>
          <w:szCs w:val="27"/>
        </w:rPr>
        <w:t xml:space="preserve">  </w:t>
      </w:r>
      <w:r w:rsidR="00EF28D5">
        <w:rPr>
          <w:color w:val="000000"/>
          <w:szCs w:val="27"/>
        </w:rPr>
        <w:t>Na toto téma jsme si uspořádali výtvarnou soutěž.</w:t>
      </w:r>
    </w:p>
    <w:p w:rsidR="001231B5" w:rsidRPr="001231B5" w:rsidRDefault="001231B5" w:rsidP="00D4585D">
      <w:pPr>
        <w:pStyle w:val="Normlnweb"/>
        <w:jc w:val="both"/>
        <w:rPr>
          <w:color w:val="000000"/>
          <w:szCs w:val="27"/>
        </w:rPr>
      </w:pPr>
      <w:r w:rsidRPr="001231B5">
        <w:rPr>
          <w:color w:val="000000"/>
          <w:szCs w:val="27"/>
        </w:rPr>
        <w:t xml:space="preserve">Z kraje podzimu jsme se zapojili do celostátní akce „Týden nízkoprahových klubů </w:t>
      </w:r>
      <w:r w:rsidR="00EF28D5">
        <w:rPr>
          <w:color w:val="000000"/>
          <w:szCs w:val="27"/>
        </w:rPr>
        <w:t>2021</w:t>
      </w:r>
      <w:r w:rsidRPr="001231B5">
        <w:rPr>
          <w:color w:val="000000"/>
          <w:szCs w:val="27"/>
        </w:rPr>
        <w:t>“. Zájemci se mohli zapojit do výtvarných dílen, zahrát si fotbálek, stolní tenis či zapojit se do běžných činností, které NZDM DoPatra nabízí. Dále se seznámit s</w:t>
      </w:r>
      <w:r w:rsidR="007D335E">
        <w:rPr>
          <w:color w:val="000000"/>
          <w:szCs w:val="27"/>
        </w:rPr>
        <w:t xml:space="preserve"> kompletní </w:t>
      </w:r>
      <w:r w:rsidRPr="001231B5">
        <w:rPr>
          <w:color w:val="000000"/>
          <w:szCs w:val="27"/>
        </w:rPr>
        <w:t>nabídkou sociálních služeb, s pracovníky a prostory, kam mohou děti po škole přijít trávit svůj volný čas</w:t>
      </w:r>
      <w:r w:rsidR="007D335E">
        <w:rPr>
          <w:color w:val="000000"/>
          <w:szCs w:val="27"/>
        </w:rPr>
        <w:t>, nebo</w:t>
      </w:r>
      <w:r w:rsidRPr="001231B5">
        <w:rPr>
          <w:color w:val="000000"/>
          <w:szCs w:val="27"/>
        </w:rPr>
        <w:t xml:space="preserve"> řešit problémy bez jakýchkoli registrací či poplatků. </w:t>
      </w:r>
    </w:p>
    <w:p w:rsidR="00EF28D5" w:rsidRDefault="00EF28D5" w:rsidP="005546EA">
      <w:pPr>
        <w:pStyle w:val="Normlnweb"/>
        <w:jc w:val="both"/>
        <w:rPr>
          <w:b/>
        </w:rPr>
      </w:pPr>
      <w:r>
        <w:rPr>
          <w:color w:val="000000"/>
          <w:szCs w:val="27"/>
        </w:rPr>
        <w:t>Letos jsme poprvé v NZDM slavili Mikuláše, a t</w:t>
      </w:r>
      <w:r w:rsidR="005546EA">
        <w:rPr>
          <w:color w:val="000000"/>
          <w:szCs w:val="27"/>
        </w:rPr>
        <w:t>o akcí „Čertoviny“ a to i</w:t>
      </w:r>
      <w:r>
        <w:rPr>
          <w:color w:val="000000"/>
          <w:szCs w:val="27"/>
        </w:rPr>
        <w:t xml:space="preserve"> s čertem a Mikulášem.</w:t>
      </w: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Čásek</w:t>
      </w:r>
    </w:p>
    <w:p w:rsidR="00C5249E" w:rsidRPr="007A5E39" w:rsidRDefault="00C5249E" w:rsidP="00BB55ED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4221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Klub Čásek je určen pro děti a mládež v nepříznivé sociální situaci</w:t>
      </w:r>
      <w:r w:rsidR="00D126A7" w:rsidRPr="007A5E39">
        <w:rPr>
          <w:rFonts w:ascii="Times New Roman" w:hAnsi="Times New Roman"/>
          <w:sz w:val="24"/>
          <w:szCs w:val="24"/>
        </w:rPr>
        <w:t xml:space="preserve"> ve </w:t>
      </w:r>
      <w:r w:rsidR="00EF28D5">
        <w:rPr>
          <w:rFonts w:ascii="Times New Roman" w:hAnsi="Times New Roman"/>
          <w:sz w:val="24"/>
          <w:szCs w:val="24"/>
        </w:rPr>
        <w:t>věku 6 – 12 let. V roce 2021</w:t>
      </w:r>
      <w:r w:rsidR="0064341E">
        <w:rPr>
          <w:rFonts w:ascii="Times New Roman" w:hAnsi="Times New Roman"/>
          <w:sz w:val="24"/>
          <w:szCs w:val="24"/>
        </w:rPr>
        <w:t xml:space="preserve"> ho navštívilo 4</w:t>
      </w:r>
      <w:r w:rsidR="00EF28D5">
        <w:rPr>
          <w:rFonts w:ascii="Times New Roman" w:hAnsi="Times New Roman"/>
          <w:sz w:val="24"/>
          <w:szCs w:val="24"/>
        </w:rPr>
        <w:t>6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64341E">
        <w:rPr>
          <w:rFonts w:ascii="Times New Roman" w:hAnsi="Times New Roman"/>
          <w:sz w:val="24"/>
          <w:szCs w:val="24"/>
        </w:rPr>
        <w:t xml:space="preserve">emců a uživatelů, proběhlo </w:t>
      </w:r>
      <w:r w:rsidR="00EF28D5">
        <w:rPr>
          <w:rFonts w:ascii="Times New Roman" w:hAnsi="Times New Roman"/>
          <w:sz w:val="24"/>
          <w:szCs w:val="24"/>
        </w:rPr>
        <w:t>651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B86D4F">
        <w:rPr>
          <w:rFonts w:ascii="Times New Roman" w:hAnsi="Times New Roman"/>
          <w:sz w:val="24"/>
          <w:szCs w:val="24"/>
        </w:rPr>
        <w:t>ři kterých bylo poskytnuto 1 120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Čas</w:t>
      </w: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Klub Čas je určen pro mládež a mladé dospělé v nepříznivé sociální situaci </w:t>
      </w:r>
      <w:r w:rsidR="00B86D4F">
        <w:rPr>
          <w:rFonts w:ascii="Times New Roman" w:hAnsi="Times New Roman"/>
          <w:sz w:val="24"/>
          <w:szCs w:val="24"/>
        </w:rPr>
        <w:t>ve věku 13 – 26 let. V roce 2021</w:t>
      </w:r>
      <w:r w:rsidR="00D126A7" w:rsidRPr="007A5E39">
        <w:rPr>
          <w:rFonts w:ascii="Times New Roman" w:hAnsi="Times New Roman"/>
          <w:sz w:val="24"/>
          <w:szCs w:val="24"/>
        </w:rPr>
        <w:t xml:space="preserve"> ho navštívilo </w:t>
      </w:r>
      <w:r w:rsidR="00B86D4F">
        <w:rPr>
          <w:rFonts w:ascii="Times New Roman" w:hAnsi="Times New Roman"/>
          <w:sz w:val="24"/>
          <w:szCs w:val="24"/>
        </w:rPr>
        <w:t>57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914D6C" w:rsidRPr="007A5E39">
        <w:rPr>
          <w:rFonts w:ascii="Times New Roman" w:hAnsi="Times New Roman"/>
          <w:sz w:val="24"/>
          <w:szCs w:val="24"/>
        </w:rPr>
        <w:t xml:space="preserve">emců a uživatelů, proběhlo </w:t>
      </w:r>
      <w:r w:rsidR="00B86D4F">
        <w:rPr>
          <w:rFonts w:ascii="Times New Roman" w:hAnsi="Times New Roman"/>
          <w:sz w:val="24"/>
          <w:szCs w:val="24"/>
        </w:rPr>
        <w:t>683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914D6C" w:rsidRPr="007A5E39">
        <w:rPr>
          <w:rFonts w:ascii="Times New Roman" w:hAnsi="Times New Roman"/>
          <w:sz w:val="24"/>
          <w:szCs w:val="24"/>
        </w:rPr>
        <w:t xml:space="preserve">ři kterých bylo poskytnuto </w:t>
      </w:r>
      <w:r w:rsidR="0064341E">
        <w:rPr>
          <w:rFonts w:ascii="Times New Roman" w:hAnsi="Times New Roman"/>
          <w:sz w:val="24"/>
          <w:szCs w:val="24"/>
        </w:rPr>
        <w:t>1</w:t>
      </w:r>
      <w:r w:rsidR="00B86D4F">
        <w:rPr>
          <w:rFonts w:ascii="Times New Roman" w:hAnsi="Times New Roman"/>
          <w:sz w:val="24"/>
          <w:szCs w:val="24"/>
        </w:rPr>
        <w:t xml:space="preserve"> </w:t>
      </w:r>
      <w:r w:rsidR="0064341E">
        <w:rPr>
          <w:rFonts w:ascii="Times New Roman" w:hAnsi="Times New Roman"/>
          <w:sz w:val="24"/>
          <w:szCs w:val="24"/>
        </w:rPr>
        <w:t>9</w:t>
      </w:r>
      <w:r w:rsidR="00B86D4F">
        <w:rPr>
          <w:rFonts w:ascii="Times New Roman" w:hAnsi="Times New Roman"/>
          <w:sz w:val="24"/>
          <w:szCs w:val="24"/>
        </w:rPr>
        <w:t>31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BB55ED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6EA" w:rsidRPr="007A5E39" w:rsidRDefault="005546EA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roce jsme měli o 60% více zájemců o službu </w:t>
      </w:r>
      <w:r w:rsidR="0052187C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ž roce 2020. A nově nás navštěvovalo více dětí z majority. </w:t>
      </w:r>
    </w:p>
    <w:p w:rsidR="00BB55ED" w:rsidRPr="007A5E39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Otevírací doba klubu </w:t>
      </w: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1941" w:type="dxa"/>
        <w:tblLook w:val="04A0"/>
      </w:tblPr>
      <w:tblGrid>
        <w:gridCol w:w="2793"/>
        <w:gridCol w:w="2411"/>
      </w:tblGrid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Pondělí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Úterý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Středa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Čtvrtek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</w:tbl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Individuální poradenství</w:t>
      </w:r>
    </w:p>
    <w:p w:rsidR="007C7995" w:rsidRPr="007A5E39" w:rsidRDefault="007C7995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11"/>
        <w:tblW w:w="0" w:type="auto"/>
        <w:tblLook w:val="04A0"/>
      </w:tblPr>
      <w:tblGrid>
        <w:gridCol w:w="2660"/>
        <w:gridCol w:w="2551"/>
      </w:tblGrid>
      <w:tr w:rsidR="00C5249E" w:rsidRPr="007A5E39" w:rsidTr="004A740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Pátek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8:00 – 16:00</w:t>
            </w:r>
          </w:p>
        </w:tc>
      </w:tr>
    </w:tbl>
    <w:p w:rsidR="007C7995" w:rsidRPr="007A5E39" w:rsidRDefault="007C7995" w:rsidP="001231B5">
      <w:pPr>
        <w:spacing w:after="0"/>
        <w:rPr>
          <w:rFonts w:ascii="Times New Roman" w:hAnsi="Times New Roman"/>
          <w:sz w:val="24"/>
          <w:szCs w:val="24"/>
        </w:rPr>
      </w:pP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 xml:space="preserve">Statistiky </w:t>
      </w: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docházky </w:t>
      </w:r>
      <w:r w:rsidR="00B86D4F">
        <w:rPr>
          <w:rFonts w:ascii="Times New Roman" w:hAnsi="Times New Roman"/>
          <w:b/>
          <w:sz w:val="24"/>
          <w:szCs w:val="24"/>
        </w:rPr>
        <w:t>od 1. 1. 2021 do 31. 12. 2021</w:t>
      </w:r>
    </w:p>
    <w:tbl>
      <w:tblPr>
        <w:tblpPr w:leftFromText="141" w:rightFromText="141" w:bottomFromText="200" w:vertAnchor="text" w:horzAnchor="page" w:tblpX="2991" w:tblpY="159"/>
        <w:tblW w:w="6617" w:type="dxa"/>
        <w:tblCellMar>
          <w:left w:w="70" w:type="dxa"/>
          <w:right w:w="70" w:type="dxa"/>
        </w:tblCellMar>
        <w:tblLook w:val="04A0"/>
      </w:tblPr>
      <w:tblGrid>
        <w:gridCol w:w="3500"/>
        <w:gridCol w:w="850"/>
        <w:gridCol w:w="850"/>
        <w:gridCol w:w="200"/>
        <w:gridCol w:w="1217"/>
      </w:tblGrid>
      <w:tr w:rsidR="007C7995" w:rsidRPr="007A5E39" w:rsidTr="00C06217">
        <w:trPr>
          <w:trHeight w:val="46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Hledaná data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záznamů</w:t>
            </w:r>
          </w:p>
        </w:tc>
      </w:tr>
      <w:tr w:rsidR="007C7995" w:rsidRPr="007A5E39" w:rsidTr="00C06217">
        <w:trPr>
          <w:trHeight w:val="33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unikátních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612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prvních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17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612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1334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vykonaných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779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C062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3051</w:t>
            </w:r>
          </w:p>
        </w:tc>
      </w:tr>
      <w:tr w:rsidR="007C7995" w:rsidRPr="007A5E39" w:rsidTr="00C06217">
        <w:trPr>
          <w:trHeight w:val="33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Kolika uživatelům poskytnuta služba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C06217" w:rsidP="00772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  <w:r w:rsidR="00772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C06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</w:tr>
    </w:tbl>
    <w:p w:rsidR="007C7995" w:rsidRPr="007A5E39" w:rsidRDefault="007C7995" w:rsidP="007C7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1231B5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7A5E39" w:rsidRDefault="007A5E39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164B" w:rsidRDefault="00B0164B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164B" w:rsidRDefault="00B0164B" w:rsidP="00422165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B0164B" w:rsidRDefault="00B0164B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Počet unikátních uživatelů v jednotlivých měsících</w:t>
      </w:r>
    </w:p>
    <w:p w:rsidR="009D6046" w:rsidRPr="007A5E39" w:rsidRDefault="000874F8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77297D">
        <w:rPr>
          <w:noProof/>
          <w:lang w:eastAsia="cs-CZ"/>
        </w:rPr>
        <w:drawing>
          <wp:inline distT="0" distB="0" distL="0" distR="0">
            <wp:extent cx="5760720" cy="3200400"/>
            <wp:effectExtent l="19050" t="0" r="0" b="0"/>
            <wp:docPr id="10" name="obrázek 10" descr="C:\Users\nzdm1\Desktop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zdm1\Desktop\grap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2165" w:rsidRDefault="0042216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2165" w:rsidRPr="007A5E39" w:rsidRDefault="0042216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 xml:space="preserve">Počet prvních kontaktů v jednotlivých měsících </w:t>
      </w:r>
    </w:p>
    <w:p w:rsidR="008C3F79" w:rsidRPr="007A5E39" w:rsidRDefault="0077297D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00400"/>
            <wp:effectExtent l="19050" t="0" r="0" b="0"/>
            <wp:docPr id="11" name="obrázek 11" descr="C:\Users\nzdm1\Desktop\grap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zdm1\Desktop\graph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kontaktů v jednotlivých měsících </w:t>
      </w:r>
    </w:p>
    <w:p w:rsidR="008C3F79" w:rsidRPr="007A5E39" w:rsidRDefault="0077297D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00400"/>
            <wp:effectExtent l="19050" t="0" r="0" b="0"/>
            <wp:docPr id="12" name="obrázek 12" descr="C:\Users\nzdm1\Desktop\graph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zdm1\Desktop\graph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DB" w:rsidRPr="007A5E39" w:rsidRDefault="00964BDB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 xml:space="preserve">Počet vykonaných služeb v jednotlivých měsících </w:t>
      </w:r>
    </w:p>
    <w:p w:rsidR="009D6046" w:rsidRPr="007A5E39" w:rsidRDefault="00F044C9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00400"/>
            <wp:effectExtent l="19050" t="0" r="0" b="0"/>
            <wp:docPr id="13" name="obrázek 13" descr="C:\Users\nzdm1\Desktop\graph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zdm1\Desktop\graph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15" w:rsidRPr="007A5E39" w:rsidRDefault="00B8251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Statistiky služeb docház</w:t>
      </w:r>
      <w:r w:rsidR="00B86D4F">
        <w:rPr>
          <w:rFonts w:ascii="Times New Roman" w:hAnsi="Times New Roman"/>
          <w:b/>
          <w:sz w:val="24"/>
          <w:szCs w:val="24"/>
        </w:rPr>
        <w:t>ky od 1. 1. 2021 do 31. 12. 2021</w:t>
      </w:r>
    </w:p>
    <w:tbl>
      <w:tblPr>
        <w:tblW w:w="9325" w:type="dxa"/>
        <w:tblCellMar>
          <w:left w:w="70" w:type="dxa"/>
          <w:right w:w="70" w:type="dxa"/>
        </w:tblCellMar>
        <w:tblLook w:val="04A0"/>
      </w:tblPr>
      <w:tblGrid>
        <w:gridCol w:w="4181"/>
        <w:gridCol w:w="709"/>
        <w:gridCol w:w="769"/>
        <w:gridCol w:w="200"/>
        <w:gridCol w:w="927"/>
        <w:gridCol w:w="718"/>
        <w:gridCol w:w="718"/>
        <w:gridCol w:w="200"/>
        <w:gridCol w:w="931"/>
      </w:tblGrid>
      <w:tr w:rsidR="008C3F79" w:rsidRPr="007A5E39" w:rsidTr="004A740C">
        <w:trPr>
          <w:trHeight w:val="291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Druhy sociálních služeb</w:t>
            </w:r>
          </w:p>
        </w:tc>
        <w:tc>
          <w:tcPr>
            <w:tcW w:w="2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poskytnutí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Kolika uživatelům poskytnuto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Výchovné, vzdělávací 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aktivizační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495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66250E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Zprostředkování kontaktu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 společenským prostředím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66250E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F04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66250E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F04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66250E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F04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8C3F79" w:rsidRPr="007A5E39" w:rsidTr="004A740C">
        <w:trPr>
          <w:trHeight w:val="207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Pomoc při uplatňování práv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oprávněných zájmů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66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8C3F79" w:rsidRPr="007A5E39" w:rsidTr="004A740C">
        <w:trPr>
          <w:trHeight w:val="5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66250E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F04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779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3051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</w:tr>
    </w:tbl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7A5E39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916236" w:rsidRDefault="00B82515" w:rsidP="00B82515">
      <w:pPr>
        <w:rPr>
          <w:rFonts w:ascii="Times New Roman" w:hAnsi="Times New Roman"/>
          <w:b/>
          <w:sz w:val="24"/>
          <w:szCs w:val="24"/>
        </w:rPr>
      </w:pPr>
      <w:r w:rsidRPr="00916236">
        <w:rPr>
          <w:rFonts w:ascii="Times New Roman" w:hAnsi="Times New Roman"/>
          <w:b/>
          <w:sz w:val="24"/>
          <w:szCs w:val="24"/>
        </w:rPr>
        <w:lastRenderedPageBreak/>
        <w:t>Personální obsazení</w:t>
      </w: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P</w:t>
      </w:r>
      <w:r w:rsidR="005F6351">
        <w:rPr>
          <w:rFonts w:ascii="Times New Roman" w:hAnsi="Times New Roman"/>
          <w:sz w:val="24"/>
          <w:szCs w:val="24"/>
        </w:rPr>
        <w:t xml:space="preserve">rovoz zařízení zajišťovali čtyři pracovníci: 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Ing. Štěpánka Holmanová – ředitelka organizace Duha o.p.s.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Bc. Hana Řeháčková, DiS.</w:t>
      </w:r>
      <w:r w:rsidR="0056200F" w:rsidRPr="00916236">
        <w:rPr>
          <w:rFonts w:ascii="Times New Roman" w:hAnsi="Times New Roman"/>
          <w:sz w:val="24"/>
          <w:szCs w:val="24"/>
        </w:rPr>
        <w:t xml:space="preserve"> – sociální pracovník </w:t>
      </w:r>
    </w:p>
    <w:p w:rsidR="00964BDB" w:rsidRPr="00916236" w:rsidRDefault="0066250E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 xml:space="preserve">Aneta Vízková – pracovník v sociálních službách 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Štefan Bužo – pracovník v sociálních službách</w:t>
      </w: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Výroční zprávu zpracovali:</w:t>
      </w:r>
    </w:p>
    <w:p w:rsidR="00B82515" w:rsidRPr="00916236" w:rsidRDefault="00B82515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Štefan Bužo</w:t>
      </w:r>
    </w:p>
    <w:p w:rsidR="0066250E" w:rsidRPr="00916236" w:rsidRDefault="0066250E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Aneta Vízková</w:t>
      </w: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7A5E39" w:rsidRDefault="009078F4" w:rsidP="00BB55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Novém Bydžově dne 7. 1. 2022</w:t>
      </w:r>
    </w:p>
    <w:sectPr w:rsidR="00B82515" w:rsidRPr="007A5E39" w:rsidSect="005956C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BB" w:rsidRDefault="008C67BB" w:rsidP="007C7995">
      <w:pPr>
        <w:spacing w:after="0" w:line="240" w:lineRule="auto"/>
      </w:pPr>
      <w:r>
        <w:separator/>
      </w:r>
    </w:p>
  </w:endnote>
  <w:endnote w:type="continuationSeparator" w:id="1">
    <w:p w:rsidR="008C67BB" w:rsidRDefault="008C67BB" w:rsidP="007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9" w:rsidRDefault="008C3F79">
    <w:pPr>
      <w:pStyle w:val="Zpat"/>
    </w:pPr>
  </w:p>
  <w:p w:rsidR="008C3F79" w:rsidRDefault="008C3F79">
    <w:pPr>
      <w:pStyle w:val="Zpat"/>
    </w:pPr>
  </w:p>
  <w:p w:rsidR="008C3F79" w:rsidRDefault="008C3F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BB" w:rsidRDefault="008C67BB" w:rsidP="007C7995">
      <w:pPr>
        <w:spacing w:after="0" w:line="240" w:lineRule="auto"/>
      </w:pPr>
      <w:r>
        <w:separator/>
      </w:r>
    </w:p>
  </w:footnote>
  <w:footnote w:type="continuationSeparator" w:id="1">
    <w:p w:rsidR="008C67BB" w:rsidRDefault="008C67BB" w:rsidP="007C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C87"/>
    <w:multiLevelType w:val="hybridMultilevel"/>
    <w:tmpl w:val="284E8044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23DD"/>
    <w:multiLevelType w:val="hybridMultilevel"/>
    <w:tmpl w:val="11CC03FA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E2C9B"/>
    <w:multiLevelType w:val="hybridMultilevel"/>
    <w:tmpl w:val="04801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0118"/>
    <w:multiLevelType w:val="hybridMultilevel"/>
    <w:tmpl w:val="399804B8"/>
    <w:lvl w:ilvl="0" w:tplc="AF480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20601"/>
    <w:rsid w:val="000245F3"/>
    <w:rsid w:val="00026EAF"/>
    <w:rsid w:val="00035ACC"/>
    <w:rsid w:val="0004177D"/>
    <w:rsid w:val="00044094"/>
    <w:rsid w:val="00045D3E"/>
    <w:rsid w:val="00060DD2"/>
    <w:rsid w:val="00071F86"/>
    <w:rsid w:val="000874F8"/>
    <w:rsid w:val="000E15F7"/>
    <w:rsid w:val="000F3325"/>
    <w:rsid w:val="001231B5"/>
    <w:rsid w:val="001448E1"/>
    <w:rsid w:val="001763CA"/>
    <w:rsid w:val="0017695F"/>
    <w:rsid w:val="001769DA"/>
    <w:rsid w:val="001769F7"/>
    <w:rsid w:val="001939F5"/>
    <w:rsid w:val="001D49A8"/>
    <w:rsid w:val="00227995"/>
    <w:rsid w:val="00251B3D"/>
    <w:rsid w:val="002641D2"/>
    <w:rsid w:val="002E726B"/>
    <w:rsid w:val="002E7E88"/>
    <w:rsid w:val="003157ED"/>
    <w:rsid w:val="0033121F"/>
    <w:rsid w:val="00377021"/>
    <w:rsid w:val="003A2D3B"/>
    <w:rsid w:val="003C5718"/>
    <w:rsid w:val="003D69BE"/>
    <w:rsid w:val="00404F1B"/>
    <w:rsid w:val="004101AA"/>
    <w:rsid w:val="00422165"/>
    <w:rsid w:val="00437157"/>
    <w:rsid w:val="0046735C"/>
    <w:rsid w:val="00497740"/>
    <w:rsid w:val="00504380"/>
    <w:rsid w:val="00505ABE"/>
    <w:rsid w:val="00505B34"/>
    <w:rsid w:val="0052187C"/>
    <w:rsid w:val="00526D5B"/>
    <w:rsid w:val="00545935"/>
    <w:rsid w:val="005546EA"/>
    <w:rsid w:val="0056200F"/>
    <w:rsid w:val="00565435"/>
    <w:rsid w:val="005701D0"/>
    <w:rsid w:val="005710DE"/>
    <w:rsid w:val="005956C4"/>
    <w:rsid w:val="005A6397"/>
    <w:rsid w:val="005B7836"/>
    <w:rsid w:val="005F6351"/>
    <w:rsid w:val="00602108"/>
    <w:rsid w:val="0061227D"/>
    <w:rsid w:val="00633841"/>
    <w:rsid w:val="0064341E"/>
    <w:rsid w:val="00646289"/>
    <w:rsid w:val="00660498"/>
    <w:rsid w:val="0066250E"/>
    <w:rsid w:val="00675043"/>
    <w:rsid w:val="0068260A"/>
    <w:rsid w:val="00687EB8"/>
    <w:rsid w:val="006B0CD7"/>
    <w:rsid w:val="006C28D3"/>
    <w:rsid w:val="006F43C9"/>
    <w:rsid w:val="007051B4"/>
    <w:rsid w:val="00712ABB"/>
    <w:rsid w:val="00725923"/>
    <w:rsid w:val="0077297D"/>
    <w:rsid w:val="007A5E39"/>
    <w:rsid w:val="007C7995"/>
    <w:rsid w:val="007D335E"/>
    <w:rsid w:val="007D55B0"/>
    <w:rsid w:val="00813258"/>
    <w:rsid w:val="008344D8"/>
    <w:rsid w:val="00872763"/>
    <w:rsid w:val="008859B7"/>
    <w:rsid w:val="00893B31"/>
    <w:rsid w:val="008A40BE"/>
    <w:rsid w:val="008C3F79"/>
    <w:rsid w:val="008C67BB"/>
    <w:rsid w:val="008D37E8"/>
    <w:rsid w:val="008F4D09"/>
    <w:rsid w:val="009078F4"/>
    <w:rsid w:val="00914660"/>
    <w:rsid w:val="00914D6C"/>
    <w:rsid w:val="00916236"/>
    <w:rsid w:val="00957B09"/>
    <w:rsid w:val="00964BDB"/>
    <w:rsid w:val="00971BF9"/>
    <w:rsid w:val="009A1034"/>
    <w:rsid w:val="009D2C2A"/>
    <w:rsid w:val="009D6046"/>
    <w:rsid w:val="00A51065"/>
    <w:rsid w:val="00A67B69"/>
    <w:rsid w:val="00AA5855"/>
    <w:rsid w:val="00AD6820"/>
    <w:rsid w:val="00AF7262"/>
    <w:rsid w:val="00B0164B"/>
    <w:rsid w:val="00B05352"/>
    <w:rsid w:val="00B82515"/>
    <w:rsid w:val="00B86D4F"/>
    <w:rsid w:val="00B9348D"/>
    <w:rsid w:val="00BB55ED"/>
    <w:rsid w:val="00BC6C6C"/>
    <w:rsid w:val="00C06217"/>
    <w:rsid w:val="00C5249E"/>
    <w:rsid w:val="00C870A9"/>
    <w:rsid w:val="00CA0415"/>
    <w:rsid w:val="00CD3D77"/>
    <w:rsid w:val="00CF3816"/>
    <w:rsid w:val="00D07FB8"/>
    <w:rsid w:val="00D126A7"/>
    <w:rsid w:val="00D4585D"/>
    <w:rsid w:val="00D45F12"/>
    <w:rsid w:val="00D52DD3"/>
    <w:rsid w:val="00D5330C"/>
    <w:rsid w:val="00D60C26"/>
    <w:rsid w:val="00D64D7F"/>
    <w:rsid w:val="00D70826"/>
    <w:rsid w:val="00DA35B1"/>
    <w:rsid w:val="00DB7188"/>
    <w:rsid w:val="00DD384D"/>
    <w:rsid w:val="00DF6582"/>
    <w:rsid w:val="00E20601"/>
    <w:rsid w:val="00E34F31"/>
    <w:rsid w:val="00E452B5"/>
    <w:rsid w:val="00E57D41"/>
    <w:rsid w:val="00E821B6"/>
    <w:rsid w:val="00EA1AA5"/>
    <w:rsid w:val="00EB5CFA"/>
    <w:rsid w:val="00ED15F5"/>
    <w:rsid w:val="00ED44C4"/>
    <w:rsid w:val="00EF28D5"/>
    <w:rsid w:val="00F044C9"/>
    <w:rsid w:val="00F74134"/>
    <w:rsid w:val="00F9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9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9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9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A3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6003-3C22-4F3D-BBA4-F3A0C784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nzdm1</cp:lastModifiedBy>
  <cp:revision>3</cp:revision>
  <cp:lastPrinted>2022-01-07T10:08:00Z</cp:lastPrinted>
  <dcterms:created xsi:type="dcterms:W3CDTF">2022-01-07T11:54:00Z</dcterms:created>
  <dcterms:modified xsi:type="dcterms:W3CDTF">2022-01-07T13:42:00Z</dcterms:modified>
</cp:coreProperties>
</file>